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008D9" w14:textId="39B34739" w:rsidR="00F550EA" w:rsidRDefault="002104C8" w:rsidP="00CE4362">
      <w:pPr>
        <w:pStyle w:val="title"/>
      </w:pPr>
      <w:r w:rsidRPr="002104C8">
        <w:t>Thermodynamic and Calorimetric Quantification of Soil Organic Matter Turnover.</w:t>
      </w:r>
    </w:p>
    <w:p w14:paraId="06C03717" w14:textId="53762ED5" w:rsidR="00B85217" w:rsidRPr="002104C8" w:rsidRDefault="002104C8" w:rsidP="00CE4362">
      <w:pPr>
        <w:pStyle w:val="authors"/>
      </w:pPr>
      <w:r>
        <w:rPr>
          <w:b/>
        </w:rPr>
        <w:t>Thomas Maskow</w:t>
      </w:r>
      <w:r w:rsidR="00046005" w:rsidRPr="00046005">
        <w:rPr>
          <w:vertAlign w:val="superscript"/>
        </w:rPr>
        <w:t>1</w:t>
      </w:r>
      <w:r w:rsidR="00B85217">
        <w:t xml:space="preserve">, </w:t>
      </w:r>
      <w:r>
        <w:t>Du Yuan</w:t>
      </w:r>
      <w:r>
        <w:rPr>
          <w:vertAlign w:val="superscript"/>
        </w:rPr>
        <w:t>1</w:t>
      </w:r>
      <w:r w:rsidR="00B85217">
        <w:t xml:space="preserve">, </w:t>
      </w:r>
      <w:r>
        <w:t>Shiyue Yang</w:t>
      </w:r>
      <w:r>
        <w:rPr>
          <w:vertAlign w:val="superscript"/>
        </w:rPr>
        <w:t>1</w:t>
      </w:r>
      <w:r>
        <w:t>, Christian Fricke</w:t>
      </w:r>
      <w:r>
        <w:rPr>
          <w:vertAlign w:val="superscript"/>
        </w:rPr>
        <w:t>2,3</w:t>
      </w:r>
      <w:r>
        <w:t>,</w:t>
      </w:r>
      <w:r w:rsidRPr="002104C8">
        <w:t xml:space="preserve"> </w:t>
      </w:r>
      <w:r>
        <w:t>Marcel Lorenz</w:t>
      </w:r>
      <w:r w:rsidR="00812F56">
        <w:rPr>
          <w:vertAlign w:val="superscript"/>
        </w:rPr>
        <w:t>4,5</w:t>
      </w:r>
      <w:r>
        <w:t>,  Eliana di Lodovico</w:t>
      </w:r>
      <w:r w:rsidR="00812F56">
        <w:rPr>
          <w:vertAlign w:val="superscript"/>
        </w:rPr>
        <w:t>1,2</w:t>
      </w:r>
      <w:r>
        <w:t>, Anja Miltner</w:t>
      </w:r>
      <w:r w:rsidR="00812F56">
        <w:rPr>
          <w:vertAlign w:val="superscript"/>
        </w:rPr>
        <w:t>5</w:t>
      </w:r>
      <w:r>
        <w:t>, Mathias Kästner</w:t>
      </w:r>
      <w:r w:rsidR="00812F56">
        <w:rPr>
          <w:vertAlign w:val="superscript"/>
        </w:rPr>
        <w:t>5</w:t>
      </w:r>
    </w:p>
    <w:p w14:paraId="170E210F" w14:textId="6238C687" w:rsidR="008F690C" w:rsidRPr="00046005" w:rsidRDefault="008F690C" w:rsidP="00CE4362">
      <w:pPr>
        <w:pStyle w:val="affiliation"/>
      </w:pPr>
      <w:r w:rsidRPr="00903F57">
        <w:rPr>
          <w:vertAlign w:val="superscript"/>
        </w:rPr>
        <w:t>1</w:t>
      </w:r>
      <w:r w:rsidR="00046005" w:rsidRPr="00046005">
        <w:tab/>
      </w:r>
      <w:r w:rsidR="002104C8">
        <w:t xml:space="preserve">Helmholz Centre for Environmental Research-UFZ, Department Microbial Biotechnology, Permoserstr. 15, 04318 Leipzig, Germany, </w:t>
      </w:r>
      <w:r w:rsidR="00903F57">
        <w:t>e</w:t>
      </w:r>
      <w:r w:rsidRPr="00046005">
        <w:t>mail</w:t>
      </w:r>
      <w:r w:rsidR="002104C8">
        <w:t>: thomas.maskow@ufz.de</w:t>
      </w:r>
    </w:p>
    <w:p w14:paraId="1416FCAA" w14:textId="217DC1AB" w:rsidR="007101AA" w:rsidRDefault="008F690C" w:rsidP="00CE4362">
      <w:pPr>
        <w:pStyle w:val="affiliation"/>
      </w:pPr>
      <w:r w:rsidRPr="00903F57">
        <w:rPr>
          <w:vertAlign w:val="superscript"/>
        </w:rPr>
        <w:t>2</w:t>
      </w:r>
      <w:r w:rsidR="00046005">
        <w:tab/>
      </w:r>
      <w:r w:rsidR="00BE35BA">
        <w:t>R</w:t>
      </w:r>
      <w:r w:rsidR="00BE35BA" w:rsidRPr="00812F56">
        <w:t>PTU Kaiserslautern-Landau</w:t>
      </w:r>
      <w:r w:rsidR="00BE35BA">
        <w:t xml:space="preserve">, </w:t>
      </w:r>
      <w:r w:rsidR="00812F56" w:rsidRPr="00812F56">
        <w:t xml:space="preserve">iES Landau, Institute for Environmental Sciences, </w:t>
      </w:r>
      <w:r w:rsidR="00137BFF" w:rsidRPr="00812F56">
        <w:t xml:space="preserve">Group of Environmental and Soil Chemistry, </w:t>
      </w:r>
      <w:r w:rsidR="00812F56" w:rsidRPr="00812F56">
        <w:t>R, Fortstraße 7, 76829 Landau, Germany</w:t>
      </w:r>
    </w:p>
    <w:p w14:paraId="50E7D2C9" w14:textId="47C177BE" w:rsidR="008F690C" w:rsidRPr="00812F56" w:rsidRDefault="008F690C" w:rsidP="00CE4362">
      <w:pPr>
        <w:pStyle w:val="affiliation"/>
        <w:rPr>
          <w:lang w:val="de-DE"/>
        </w:rPr>
      </w:pPr>
      <w:r w:rsidRPr="00812F56">
        <w:rPr>
          <w:vertAlign w:val="superscript"/>
          <w:lang w:val="de-DE"/>
        </w:rPr>
        <w:t>3</w:t>
      </w:r>
      <w:r w:rsidR="00046005" w:rsidRPr="00812F56">
        <w:rPr>
          <w:lang w:val="de-DE"/>
        </w:rPr>
        <w:tab/>
      </w:r>
      <w:r w:rsidR="00812F56" w:rsidRPr="00812F56">
        <w:rPr>
          <w:lang w:val="de-DE"/>
        </w:rPr>
        <w:t>Duale Hochschule Sachsen - Staatliche Studienakademie Riesa, University of Cooperative Education, Rittergutstraße 6, 01591, Riesa, Germany</w:t>
      </w:r>
    </w:p>
    <w:p w14:paraId="62AFEAE6" w14:textId="53250FD3" w:rsidR="00812F56" w:rsidRDefault="00812F56" w:rsidP="00812F56">
      <w:pPr>
        <w:pStyle w:val="affiliation"/>
      </w:pPr>
      <w:r>
        <w:rPr>
          <w:vertAlign w:val="superscript"/>
        </w:rPr>
        <w:t>4</w:t>
      </w:r>
      <w:r>
        <w:tab/>
      </w:r>
      <w:r w:rsidRPr="00812F56">
        <w:t>Trier University, Soil Science, FB VI, Behringstraße 21, 54296 Trier, Germany</w:t>
      </w:r>
    </w:p>
    <w:p w14:paraId="11D370D8" w14:textId="4CAF3754" w:rsidR="00812F56" w:rsidRDefault="00812F56" w:rsidP="00812F56">
      <w:pPr>
        <w:pStyle w:val="affiliation"/>
      </w:pPr>
      <w:r>
        <w:rPr>
          <w:vertAlign w:val="superscript"/>
        </w:rPr>
        <w:t>5</w:t>
      </w:r>
      <w:r>
        <w:tab/>
      </w:r>
      <w:r w:rsidRPr="00812F56">
        <w:t xml:space="preserve">Helmholz Centre for Environmental Research-UFZ, Department </w:t>
      </w:r>
      <w:r>
        <w:t>Molecula</w:t>
      </w:r>
      <w:r w:rsidR="00137BFF">
        <w:t>r</w:t>
      </w:r>
      <w:r>
        <w:t xml:space="preserve"> Environmental Biotechnology,</w:t>
      </w:r>
      <w:r w:rsidRPr="00812F56">
        <w:t xml:space="preserve"> Permoserstr. 15, 04318 Leipzig, Germany</w:t>
      </w:r>
    </w:p>
    <w:p w14:paraId="329931AF" w14:textId="77777777" w:rsidR="00812F56" w:rsidRDefault="00812F56" w:rsidP="00CE4362">
      <w:pPr>
        <w:pStyle w:val="affiliation"/>
      </w:pPr>
    </w:p>
    <w:p w14:paraId="688E385E" w14:textId="77777777" w:rsidR="00563305" w:rsidRPr="00CE4362" w:rsidRDefault="00563305" w:rsidP="00B82317">
      <w:pPr>
        <w:pStyle w:val="keywords"/>
      </w:pPr>
    </w:p>
    <w:p w14:paraId="331555B3" w14:textId="77777777" w:rsidR="00CE4362" w:rsidRPr="00B82317" w:rsidRDefault="00CE4362" w:rsidP="00B82317">
      <w:pPr>
        <w:pStyle w:val="keywords"/>
        <w:sectPr w:rsidR="00CE4362" w:rsidRPr="00B82317" w:rsidSect="00923097">
          <w:head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2D29C6F" w14:textId="0AD92E35" w:rsidR="002A0E37" w:rsidRPr="00326BB5" w:rsidRDefault="002A0E37" w:rsidP="002A0E37">
      <w:pPr>
        <w:pStyle w:val="mainbody"/>
      </w:pPr>
      <w:r w:rsidRPr="00326BB5">
        <w:t xml:space="preserve">Soil organic matter </w:t>
      </w:r>
      <w:r w:rsidR="00326BB5" w:rsidRPr="00326BB5">
        <w:t xml:space="preserve">(SOM) </w:t>
      </w:r>
      <w:r w:rsidRPr="00326BB5">
        <w:t xml:space="preserve">turnover is commonly described in terms of carbon pools, microbial activity, and mass balances. However, organic matter entering soil is not only a source of carbon and nutrients, but also a carrier of chemical energy. During microbial decomposition, this energy is </w:t>
      </w:r>
      <w:r w:rsidR="00C919A5">
        <w:t xml:space="preserve">partially lost trough respiratory processes and dissipation as </w:t>
      </w:r>
      <w:r w:rsidRPr="00326BB5">
        <w:t xml:space="preserve">heat, </w:t>
      </w:r>
      <w:r w:rsidR="00C919A5">
        <w:t xml:space="preserve">while the remaining fraction is conserved in microbial </w:t>
      </w:r>
      <w:r w:rsidRPr="00326BB5">
        <w:t xml:space="preserve">biomass, necromass, </w:t>
      </w:r>
      <w:r w:rsidR="00C919A5">
        <w:t xml:space="preserve">and ultimately stabilized </w:t>
      </w:r>
      <w:r w:rsidR="00326BB5" w:rsidRPr="00326BB5">
        <w:t>SOM</w:t>
      </w:r>
      <w:r w:rsidRPr="00326BB5">
        <w:t xml:space="preserve">. Quantifying these energy transformations may therefore provide an additional perspective on soil carbon cycling and on the mechanisms controlling </w:t>
      </w:r>
      <w:r w:rsidR="00C919A5">
        <w:t>SOM</w:t>
      </w:r>
      <w:r w:rsidRPr="00326BB5">
        <w:t xml:space="preserve"> persistence</w:t>
      </w:r>
      <w:r w:rsidR="00D74BAC" w:rsidRPr="00326BB5">
        <w:t xml:space="preserve"> [1]</w:t>
      </w:r>
      <w:r w:rsidRPr="00326BB5">
        <w:t>.</w:t>
      </w:r>
    </w:p>
    <w:p w14:paraId="3ED917FF" w14:textId="25ECEED9" w:rsidR="002A0E37" w:rsidRPr="00326BB5" w:rsidRDefault="002A0E37" w:rsidP="002A0E37">
      <w:pPr>
        <w:pStyle w:val="mainbody"/>
      </w:pPr>
      <w:r w:rsidRPr="00326BB5">
        <w:t xml:space="preserve">In this contribution, I will present how calorimetric and thermodynamic approaches can be used to complement classical carbon-based descriptions of </w:t>
      </w:r>
      <w:r w:rsidR="00D74BAC" w:rsidRPr="00326BB5">
        <w:t>SOM</w:t>
      </w:r>
      <w:r w:rsidRPr="00326BB5">
        <w:t xml:space="preserve"> turnover. Isothermal calorimetry and calorespirometry allow microbial heat production to be linked with CO₂ or O₂ fluxes, thereby </w:t>
      </w:r>
      <w:r w:rsidR="00A439EB">
        <w:t xml:space="preserve">coupling stoichiometric balances with enthalpy balances and </w:t>
      </w:r>
      <w:r w:rsidRPr="00326BB5">
        <w:t xml:space="preserve">providing access to </w:t>
      </w:r>
      <w:r w:rsidR="00A439EB">
        <w:t>reaction entha</w:t>
      </w:r>
      <w:r w:rsidR="00326BB5" w:rsidRPr="00326BB5">
        <w:t>lpies</w:t>
      </w:r>
      <w:r w:rsidR="00C919A5">
        <w:t xml:space="preserve">, </w:t>
      </w:r>
      <w:r w:rsidR="00326BB5" w:rsidRPr="00326BB5">
        <w:t xml:space="preserve">and </w:t>
      </w:r>
      <w:r w:rsidR="00A439EB">
        <w:t xml:space="preserve">energy dissipation during microbial turnover </w:t>
      </w:r>
      <w:r w:rsidR="00326BB5" w:rsidRPr="00326BB5">
        <w:t>in combination with thermodynamc modelling</w:t>
      </w:r>
      <w:r w:rsidR="001E1F29">
        <w:t>. T</w:t>
      </w:r>
      <w:r w:rsidR="00A439EB">
        <w:t xml:space="preserve">hese measurements can be </w:t>
      </w:r>
      <w:r w:rsidR="00326BB5" w:rsidRPr="00326BB5">
        <w:t xml:space="preserve">further </w:t>
      </w:r>
      <w:r w:rsidR="00A439EB">
        <w:t xml:space="preserve">used to estimate </w:t>
      </w:r>
      <w:r w:rsidR="00157FA6" w:rsidRPr="00326BB5">
        <w:t>thermodynamic state functions such as Gibbs energies and entropies</w:t>
      </w:r>
      <w:r w:rsidR="00A439EB">
        <w:t xml:space="preserve">, and </w:t>
      </w:r>
      <w:r w:rsidR="00C919A5">
        <w:t xml:space="preserve">use </w:t>
      </w:r>
      <w:r w:rsidR="00157FA6" w:rsidRPr="00326BB5">
        <w:t>efficienc</w:t>
      </w:r>
      <w:r w:rsidR="00A439EB">
        <w:t xml:space="preserve">ies of carbon </w:t>
      </w:r>
      <w:r w:rsidR="00157FA6" w:rsidRPr="00326BB5">
        <w:t>(CUE) and energy (EUE)</w:t>
      </w:r>
      <w:r w:rsidRPr="00326BB5">
        <w:t xml:space="preserve">. </w:t>
      </w:r>
      <w:r w:rsidR="00A439EB">
        <w:t xml:space="preserve">By combining carbon and energy balances, these approaches make it possible to distinguish whether </w:t>
      </w:r>
      <w:r w:rsidR="00C919A5">
        <w:t>SOM</w:t>
      </w:r>
      <w:r w:rsidR="00A439EB">
        <w:t xml:space="preserve"> turnover primarily results in respiratory losse</w:t>
      </w:r>
      <w:r w:rsidR="00C919A5">
        <w:t>s</w:t>
      </w:r>
      <w:r w:rsidR="00A439EB">
        <w:t>, heat dissipation, or the formation of microbial biomass and necromass</w:t>
      </w:r>
      <w:r w:rsidR="001E1F29">
        <w:t>.</w:t>
      </w:r>
      <w:r w:rsidRPr="00326BB5">
        <w:t xml:space="preserve"> In addition, combustion calorimetry and thermal analysis provide information on the chemical energy stored in</w:t>
      </w:r>
      <w:r w:rsidR="00157FA6" w:rsidRPr="00326BB5">
        <w:t xml:space="preserve"> SOM </w:t>
      </w:r>
      <w:r w:rsidRPr="00326BB5">
        <w:t>itself, which is required to close energy balances and to develop thermodynamically consistent models of soil carbon turnover.</w:t>
      </w:r>
    </w:p>
    <w:p w14:paraId="7F031A8B" w14:textId="0953B6BD" w:rsidR="00D74BAC" w:rsidRPr="00326BB5" w:rsidRDefault="002A0E37" w:rsidP="002A0E37">
      <w:pPr>
        <w:pStyle w:val="mainbody"/>
      </w:pPr>
      <w:r w:rsidRPr="00326BB5">
        <w:t xml:space="preserve">Using examples from recent experimental work, </w:t>
      </w:r>
      <w:r w:rsidR="00326BB5" w:rsidRPr="00326BB5">
        <w:t>I</w:t>
      </w:r>
      <w:r w:rsidR="00BE716E" w:rsidRPr="00326BB5">
        <w:t xml:space="preserve"> will </w:t>
      </w:r>
      <w:r w:rsidRPr="00326BB5">
        <w:t>show how heat</w:t>
      </w:r>
      <w:r w:rsidR="00565BB8">
        <w:t xml:space="preserve"> production rates</w:t>
      </w:r>
      <w:r w:rsidRPr="00326BB5">
        <w:t xml:space="preserve">, respiratory fluxes, isotope-labelled substrates, and energy-content measurements can be combined to quantify microbial turnover processes in soil systems. Particular emphasis will be placed on the methodological challenges of applying calorimetric </w:t>
      </w:r>
      <w:r w:rsidR="00BE716E" w:rsidRPr="00326BB5">
        <w:t xml:space="preserve">and thermal analytical </w:t>
      </w:r>
      <w:r w:rsidRPr="00326BB5">
        <w:t xml:space="preserve">techniques to heterogeneous, low-carbon soil samples and on the opportunities arising from linking </w:t>
      </w:r>
      <w:r w:rsidR="00BE716E" w:rsidRPr="00326BB5">
        <w:t xml:space="preserve">energetics </w:t>
      </w:r>
      <w:r w:rsidRPr="00326BB5">
        <w:t>with stoichiometric and thermodynamic modelling.</w:t>
      </w:r>
    </w:p>
    <w:p w14:paraId="452BFA1E" w14:textId="38ED714B" w:rsidR="00D74BAC" w:rsidRDefault="00D74BAC" w:rsidP="002A0E37">
      <w:pPr>
        <w:pStyle w:val="mainbody"/>
      </w:pPr>
      <w:r w:rsidRPr="00326BB5">
        <w:t>Overall, the presentation proposes that energy should be treated as an explicit state and balance variable in soil biogeochemistry. Such a thermodynamic perspective does not replace carbon-based approaches, but can reveal constraints, efficiencies, and transformation pathways that remain hidden when soil organic matter turnover is considered only as a redistribution of</w:t>
      </w:r>
      <w:bookmarkStart w:id="0" w:name="_GoBack"/>
      <w:bookmarkEnd w:id="0"/>
      <w:r w:rsidRPr="00326BB5">
        <w:t xml:space="preserve"> carbon.</w:t>
      </w:r>
    </w:p>
    <w:p w14:paraId="57C4D3C6" w14:textId="77777777" w:rsidR="00563305" w:rsidRDefault="00563305" w:rsidP="00797810">
      <w:pPr>
        <w:pStyle w:val="mainbodysubheading"/>
      </w:pPr>
      <w:r w:rsidRPr="00CE4362">
        <w:t>References</w:t>
      </w:r>
    </w:p>
    <w:p w14:paraId="34FD3A1C" w14:textId="49F04FE9" w:rsidR="00D71D58" w:rsidRDefault="00D71D58" w:rsidP="00B82317">
      <w:pPr>
        <w:pStyle w:val="references"/>
      </w:pPr>
      <w:r>
        <w:t xml:space="preserve">[1] </w:t>
      </w:r>
      <w:r>
        <w:tab/>
      </w:r>
      <w:r w:rsidR="00C67061">
        <w:t xml:space="preserve">M. Kästner, T. Maskow, A. Miltner, M. Lorenz, S. Thiele-Bruhn, </w:t>
      </w:r>
      <w:r w:rsidR="00C67061">
        <w:rPr>
          <w:i/>
        </w:rPr>
        <w:t xml:space="preserve">Soil Biology and Biochemistry </w:t>
      </w:r>
      <w:r>
        <w:t xml:space="preserve"> (20</w:t>
      </w:r>
      <w:r w:rsidR="00BE716E">
        <w:t>24</w:t>
      </w:r>
      <w:r>
        <w:t xml:space="preserve">) </w:t>
      </w:r>
      <w:r w:rsidR="00BE716E">
        <w:t>109403</w:t>
      </w:r>
      <w:r>
        <w:t>.</w:t>
      </w:r>
    </w:p>
    <w:p w14:paraId="4388CC34" w14:textId="77777777" w:rsidR="004E44E4" w:rsidRDefault="008405AD" w:rsidP="00797810">
      <w:pPr>
        <w:pStyle w:val="mainbodysubheading"/>
      </w:pPr>
      <w:r>
        <w:t>Acknowledgement</w:t>
      </w:r>
    </w:p>
    <w:p w14:paraId="720EB2CA" w14:textId="46EB44DB" w:rsidR="00563305" w:rsidRPr="00CE4362" w:rsidRDefault="00C4024D" w:rsidP="00B82317">
      <w:pPr>
        <w:pStyle w:val="mainbody"/>
      </w:pPr>
      <w:r w:rsidRPr="00C4024D">
        <w:t>We acknowledge financial support from the Helmholtz Centre for Environmental Research – UFZ and from the German Research Foundation (DFG) through projects T</w:t>
      </w:r>
      <w:r>
        <w:t>H</w:t>
      </w:r>
      <w:r w:rsidRPr="00C4024D">
        <w:t xml:space="preserve"> 678/25-1, MA 3746/8-1, MA 3746/8-2, MA 3746/9-1, and MA 3746/9-2.</w:t>
      </w:r>
    </w:p>
    <w:sectPr w:rsidR="00563305" w:rsidRPr="00CE4362" w:rsidSect="0092309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B62E6" w14:textId="77777777" w:rsidR="00B5697F" w:rsidRDefault="00B5697F" w:rsidP="00923097">
      <w:pPr>
        <w:spacing w:after="0" w:line="240" w:lineRule="auto"/>
      </w:pPr>
      <w:r>
        <w:separator/>
      </w:r>
    </w:p>
  </w:endnote>
  <w:endnote w:type="continuationSeparator" w:id="0">
    <w:p w14:paraId="1C54C778" w14:textId="77777777" w:rsidR="00B5697F" w:rsidRDefault="00B5697F" w:rsidP="00923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6CDCA" w14:textId="77777777" w:rsidR="00B5697F" w:rsidRDefault="00B5697F" w:rsidP="00923097">
      <w:pPr>
        <w:spacing w:after="0" w:line="240" w:lineRule="auto"/>
      </w:pPr>
      <w:r>
        <w:separator/>
      </w:r>
    </w:p>
  </w:footnote>
  <w:footnote w:type="continuationSeparator" w:id="0">
    <w:p w14:paraId="5C922DEA" w14:textId="77777777" w:rsidR="00B5697F" w:rsidRDefault="00B5697F" w:rsidP="00923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BCE04" w14:textId="618BD124" w:rsidR="00923097" w:rsidRDefault="00923097">
    <w:pPr>
      <w:pStyle w:val="Kopfzeile"/>
    </w:pPr>
    <w:r>
      <w:rPr>
        <w:noProof/>
        <w:lang w:val="de-DE" w:eastAsia="zh-CN"/>
      </w:rPr>
      <w:drawing>
        <wp:anchor distT="0" distB="0" distL="114300" distR="114300" simplePos="0" relativeHeight="251658240" behindDoc="0" locked="0" layoutInCell="1" allowOverlap="1" wp14:anchorId="2D18FDAC" wp14:editId="4043BBC7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440000" cy="360000"/>
          <wp:effectExtent l="0" t="0" r="0" b="2540"/>
          <wp:wrapNone/>
          <wp:docPr id="2002396108" name="Obrázek 1" descr="ihss-iwa2026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hss-iwa2026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8CA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DEDF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78464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1857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086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74C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0630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34D2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EC7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9E4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0DF"/>
    <w:rsid w:val="00046005"/>
    <w:rsid w:val="00092DE4"/>
    <w:rsid w:val="00096222"/>
    <w:rsid w:val="00137BFF"/>
    <w:rsid w:val="001550DF"/>
    <w:rsid w:val="00157FA6"/>
    <w:rsid w:val="001E1F29"/>
    <w:rsid w:val="002104C8"/>
    <w:rsid w:val="00211BC2"/>
    <w:rsid w:val="00292351"/>
    <w:rsid w:val="002A0E37"/>
    <w:rsid w:val="003158C4"/>
    <w:rsid w:val="00326BB5"/>
    <w:rsid w:val="003474BC"/>
    <w:rsid w:val="004744E6"/>
    <w:rsid w:val="004E44E4"/>
    <w:rsid w:val="005049D9"/>
    <w:rsid w:val="00563305"/>
    <w:rsid w:val="0056486B"/>
    <w:rsid w:val="00565BB8"/>
    <w:rsid w:val="005D1B04"/>
    <w:rsid w:val="006176BD"/>
    <w:rsid w:val="006D3C68"/>
    <w:rsid w:val="006D57C8"/>
    <w:rsid w:val="006F115D"/>
    <w:rsid w:val="007101AA"/>
    <w:rsid w:val="00726A0B"/>
    <w:rsid w:val="00797810"/>
    <w:rsid w:val="00812F56"/>
    <w:rsid w:val="008405AD"/>
    <w:rsid w:val="008D6CB7"/>
    <w:rsid w:val="008F3B7C"/>
    <w:rsid w:val="008F690C"/>
    <w:rsid w:val="00903F57"/>
    <w:rsid w:val="00916E2F"/>
    <w:rsid w:val="00923097"/>
    <w:rsid w:val="00962845"/>
    <w:rsid w:val="00A439EB"/>
    <w:rsid w:val="00A7555B"/>
    <w:rsid w:val="00A776DB"/>
    <w:rsid w:val="00B51067"/>
    <w:rsid w:val="00B5697F"/>
    <w:rsid w:val="00B82317"/>
    <w:rsid w:val="00B85217"/>
    <w:rsid w:val="00B97F2A"/>
    <w:rsid w:val="00BE35BA"/>
    <w:rsid w:val="00BE716E"/>
    <w:rsid w:val="00C309C7"/>
    <w:rsid w:val="00C4024D"/>
    <w:rsid w:val="00C67061"/>
    <w:rsid w:val="00C919A5"/>
    <w:rsid w:val="00CE4362"/>
    <w:rsid w:val="00D71D58"/>
    <w:rsid w:val="00D74BAC"/>
    <w:rsid w:val="00E518A6"/>
    <w:rsid w:val="00E7370E"/>
    <w:rsid w:val="00F5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E69BB"/>
  <w15:docId w15:val="{3AE7B39F-AB3F-446D-A268-3F22C9CD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85217"/>
  </w:style>
  <w:style w:type="paragraph" w:styleId="berschrift1">
    <w:name w:val="heading 1"/>
    <w:basedOn w:val="Standard"/>
    <w:next w:val="Standard"/>
    <w:link w:val="berschrift1Zchn"/>
    <w:uiPriority w:val="9"/>
    <w:rsid w:val="00B852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le">
    <w:name w:val="_title"/>
    <w:basedOn w:val="Standard"/>
    <w:qFormat/>
    <w:rsid w:val="00CE4362"/>
    <w:pPr>
      <w:pBdr>
        <w:top w:val="single" w:sz="4" w:space="1" w:color="auto"/>
        <w:bottom w:val="single" w:sz="4" w:space="1" w:color="auto"/>
      </w:pBdr>
    </w:pPr>
    <w:rPr>
      <w:b/>
      <w:sz w:val="3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852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einLeerraum">
    <w:name w:val="No Spacing"/>
    <w:uiPriority w:val="1"/>
    <w:rsid w:val="00B85217"/>
    <w:pPr>
      <w:spacing w:after="0" w:line="240" w:lineRule="auto"/>
    </w:pPr>
  </w:style>
  <w:style w:type="paragraph" w:customStyle="1" w:styleId="authors">
    <w:name w:val="_authors"/>
    <w:basedOn w:val="Standard"/>
    <w:qFormat/>
    <w:rsid w:val="00CE4362"/>
    <w:rPr>
      <w:lang w:val="en-US"/>
    </w:rPr>
  </w:style>
  <w:style w:type="paragraph" w:customStyle="1" w:styleId="affiliation">
    <w:name w:val="_affiliation"/>
    <w:basedOn w:val="Standard"/>
    <w:qFormat/>
    <w:rsid w:val="00CE4362"/>
    <w:pPr>
      <w:tabs>
        <w:tab w:val="left" w:pos="284"/>
      </w:tabs>
      <w:spacing w:after="0"/>
      <w:ind w:left="284" w:hanging="284"/>
    </w:pPr>
    <w:rPr>
      <w:lang w:val="en-US"/>
    </w:rPr>
  </w:style>
  <w:style w:type="paragraph" w:customStyle="1" w:styleId="keywords">
    <w:name w:val="_keywords"/>
    <w:basedOn w:val="Standard"/>
    <w:qFormat/>
    <w:rsid w:val="00797810"/>
    <w:pPr>
      <w:pBdr>
        <w:bottom w:val="single" w:sz="4" w:space="1" w:color="auto"/>
      </w:pBdr>
      <w:spacing w:after="240"/>
    </w:pPr>
    <w:rPr>
      <w:sz w:val="18"/>
      <w:lang w:val="en-US"/>
    </w:rPr>
  </w:style>
  <w:style w:type="paragraph" w:customStyle="1" w:styleId="summary">
    <w:name w:val="_summary"/>
    <w:basedOn w:val="Standard"/>
    <w:qFormat/>
    <w:rsid w:val="00B82317"/>
    <w:pPr>
      <w:pBdr>
        <w:bottom w:val="single" w:sz="4" w:space="1" w:color="auto"/>
      </w:pBdr>
      <w:spacing w:after="360" w:line="240" w:lineRule="auto"/>
    </w:pPr>
    <w:rPr>
      <w:i/>
      <w:lang w:val="en-US"/>
    </w:rPr>
  </w:style>
  <w:style w:type="paragraph" w:customStyle="1" w:styleId="mainbody">
    <w:name w:val="_main body"/>
    <w:basedOn w:val="Standard"/>
    <w:qFormat/>
    <w:rsid w:val="00B82317"/>
    <w:pPr>
      <w:spacing w:after="0" w:line="240" w:lineRule="auto"/>
      <w:ind w:firstLine="284"/>
      <w:jc w:val="both"/>
    </w:pPr>
    <w:rPr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3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3B7C"/>
    <w:rPr>
      <w:rFonts w:ascii="Tahoma" w:hAnsi="Tahoma" w:cs="Tahoma"/>
      <w:sz w:val="16"/>
      <w:szCs w:val="16"/>
    </w:rPr>
  </w:style>
  <w:style w:type="paragraph" w:customStyle="1" w:styleId="figurein-line">
    <w:name w:val="_figure in-line"/>
    <w:basedOn w:val="mainbody"/>
    <w:qFormat/>
    <w:rsid w:val="008405AD"/>
    <w:pPr>
      <w:keepNext/>
      <w:spacing w:before="120"/>
      <w:ind w:firstLine="0"/>
    </w:pPr>
  </w:style>
  <w:style w:type="paragraph" w:customStyle="1" w:styleId="figurecaption">
    <w:name w:val="_figure caption"/>
    <w:basedOn w:val="figurein-line"/>
    <w:qFormat/>
    <w:rsid w:val="008405AD"/>
    <w:pPr>
      <w:keepNext w:val="0"/>
      <w:spacing w:before="0" w:after="120"/>
      <w:jc w:val="left"/>
    </w:pPr>
    <w:rPr>
      <w:i/>
    </w:rPr>
  </w:style>
  <w:style w:type="table" w:styleId="Tabellenraster">
    <w:name w:val="Table Grid"/>
    <w:basedOn w:val="NormaleTabelle"/>
    <w:uiPriority w:val="59"/>
    <w:rsid w:val="00E5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aption">
    <w:name w:val="_table caption"/>
    <w:basedOn w:val="figurecaption"/>
    <w:qFormat/>
    <w:rsid w:val="008405AD"/>
    <w:pPr>
      <w:spacing w:before="120" w:after="0"/>
    </w:pPr>
  </w:style>
  <w:style w:type="paragraph" w:customStyle="1" w:styleId="tabletext">
    <w:name w:val="_table text"/>
    <w:basedOn w:val="mainbody"/>
    <w:qFormat/>
    <w:rsid w:val="00A776DB"/>
    <w:pPr>
      <w:ind w:firstLine="0"/>
      <w:jc w:val="center"/>
    </w:pPr>
    <w:rPr>
      <w:sz w:val="14"/>
    </w:rPr>
  </w:style>
  <w:style w:type="paragraph" w:customStyle="1" w:styleId="mainbodysubheading">
    <w:name w:val="_main body subheading"/>
    <w:basedOn w:val="mainbody"/>
    <w:rsid w:val="00A776DB"/>
    <w:pPr>
      <w:spacing w:before="120"/>
      <w:ind w:firstLine="0"/>
    </w:pPr>
    <w:rPr>
      <w:b/>
    </w:rPr>
  </w:style>
  <w:style w:type="paragraph" w:customStyle="1" w:styleId="references">
    <w:name w:val="_references"/>
    <w:basedOn w:val="mainbody"/>
    <w:rsid w:val="00B82317"/>
    <w:pPr>
      <w:ind w:left="709" w:hanging="425"/>
    </w:pPr>
    <w:rPr>
      <w:rFonts w:eastAsia="Times New Roman" w:cs="Times New Roman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92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3097"/>
  </w:style>
  <w:style w:type="paragraph" w:styleId="Fuzeile">
    <w:name w:val="footer"/>
    <w:basedOn w:val="Standard"/>
    <w:link w:val="FuzeileZchn"/>
    <w:uiPriority w:val="99"/>
    <w:unhideWhenUsed/>
    <w:rsid w:val="0092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240c28-3ef8-4c5e-8b5c-407a0d059f95" xsi:nil="true"/>
    <lcf76f155ced4ddcb4097134ff3c332f xmlns="a513db97-3a80-4656-972b-32c324371a3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200AF0503D3D4D87BABA505C0AF374" ma:contentTypeVersion="14" ma:contentTypeDescription="Vytvoří nový dokument" ma:contentTypeScope="" ma:versionID="6bf316874c94cc8261e86f2a714bb3e0">
  <xsd:schema xmlns:xsd="http://www.w3.org/2001/XMLSchema" xmlns:xs="http://www.w3.org/2001/XMLSchema" xmlns:p="http://schemas.microsoft.com/office/2006/metadata/properties" xmlns:ns2="a513db97-3a80-4656-972b-32c324371a38" xmlns:ns3="ba240c28-3ef8-4c5e-8b5c-407a0d059f95" targetNamespace="http://schemas.microsoft.com/office/2006/metadata/properties" ma:root="true" ma:fieldsID="ab4edfdef9ad4dcae7dd361934cf8831" ns2:_="" ns3:_="">
    <xsd:import namespace="a513db97-3a80-4656-972b-32c324371a38"/>
    <xsd:import namespace="ba240c28-3ef8-4c5e-8b5c-407a0d059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3db97-3a80-4656-972b-32c3243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05d93c6-91d1-4233-9aa4-1c79e82c37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40c28-3ef8-4c5e-8b5c-407a0d059f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066885-257c-4c97-bd58-7d11eb922ffb}" ma:internalName="TaxCatchAll" ma:showField="CatchAllData" ma:web="ba240c28-3ef8-4c5e-8b5c-407a0d059f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9B5682-5D8D-434C-BDC8-10F2CC636E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0E1E1F-AC99-4D8C-9E7D-3B245C720A71}">
  <ds:schemaRefs>
    <ds:schemaRef ds:uri="http://schemas.microsoft.com/office/2006/metadata/properties"/>
    <ds:schemaRef ds:uri="http://schemas.microsoft.com/office/infopath/2007/PartnerControls"/>
    <ds:schemaRef ds:uri="ba240c28-3ef8-4c5e-8b5c-407a0d059f95"/>
    <ds:schemaRef ds:uri="a513db97-3a80-4656-972b-32c324371a38"/>
  </ds:schemaRefs>
</ds:datastoreItem>
</file>

<file path=customXml/itemProps3.xml><?xml version="1.0" encoding="utf-8"?>
<ds:datastoreItem xmlns:ds="http://schemas.openxmlformats.org/officeDocument/2006/customXml" ds:itemID="{92568972-842B-4634-B1CD-B4AE7B1783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534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Pipoš</dc:creator>
  <cp:lastModifiedBy>Thomas Maskow maskow</cp:lastModifiedBy>
  <cp:revision>6</cp:revision>
  <dcterms:created xsi:type="dcterms:W3CDTF">2026-06-19T08:44:00Z</dcterms:created>
  <dcterms:modified xsi:type="dcterms:W3CDTF">2026-06-19T13:42:00Z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0x010100BC200AF0503D3D4D87BABA505C0AF374</vt:lpwstr>
  </property>
</Properties>
</file>